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Ways Activists Say We Can Beat Conversion Therapy — Without Laws Alone</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for change are increasingly turning to scrutiny and exposure rather than relying solely on state bans. Wayne Besen, a longtime LGBTQ+ activist, says bans are often symbolic and that vigilance, social media and consumer-fraud tactics are the practical tools that actually shut down conversion therapy operations.</w:t>
      </w:r>
      <w:r/>
    </w:p>
    <w:p>
      <w:r/>
      <w:r>
        <w:t>Essential Takeaways</w:t>
      </w:r>
      <w:r/>
      <w:r/>
    </w:p>
    <w:p>
      <w:pPr>
        <w:pStyle w:val="ListBullet"/>
        <w:spacing w:line="240" w:lineRule="auto"/>
        <w:ind w:left="720"/>
      </w:pPr>
      <w:r/>
      <w:r>
        <w:rPr>
          <w:b/>
        </w:rPr>
        <w:t>Bans are limited:</w:t>
      </w:r>
      <w:r>
        <w:t xml:space="preserve"> State laws now exist in many places, but activists say they only touch a minority of people offering conversion practices and often include wide religious and speech exemptions.</w:t>
      </w:r>
      <w:r/>
    </w:p>
    <w:p>
      <w:pPr>
        <w:pStyle w:val="ListBullet"/>
        <w:spacing w:line="240" w:lineRule="auto"/>
        <w:ind w:left="720"/>
      </w:pPr>
      <w:r/>
      <w:r>
        <w:rPr>
          <w:b/>
        </w:rPr>
        <w:t>Unlicensed operators persist:</w:t>
      </w:r>
      <w:r>
        <w:t xml:space="preserve"> Many programmes are run by religious counsellors, life coaches or “ex-LGBTQ+” ministries that avoid professional licencing rules and so skirt bans.</w:t>
      </w:r>
      <w:r/>
    </w:p>
    <w:p>
      <w:pPr>
        <w:pStyle w:val="ListBullet"/>
        <w:spacing w:line="240" w:lineRule="auto"/>
        <w:ind w:left="720"/>
      </w:pPr>
      <w:r/>
      <w:r>
        <w:rPr>
          <w:b/>
        </w:rPr>
        <w:t>Consumer-fraud wins matter:</w:t>
      </w:r>
      <w:r>
        <w:t xml:space="preserve"> Lawsuits using consumer-protection statutes have successfully shuttered groups in the past, though they require more time and money.</w:t>
      </w:r>
      <w:r/>
    </w:p>
    <w:p>
      <w:pPr>
        <w:pStyle w:val="ListBullet"/>
        <w:spacing w:line="240" w:lineRule="auto"/>
        <w:ind w:left="720"/>
      </w:pPr>
      <w:r/>
      <w:r>
        <w:rPr>
          <w:b/>
        </w:rPr>
        <w:t>Public exposure works:</w:t>
      </w:r>
      <w:r>
        <w:t xml:space="preserve"> Investigations, social media pressure and revealing leaders’ hypocrisy have historically dismantled prominent conversion networks.</w:t>
      </w:r>
      <w:r/>
    </w:p>
    <w:p>
      <w:pPr>
        <w:pStyle w:val="ListBullet"/>
        <w:spacing w:line="240" w:lineRule="auto"/>
        <w:ind w:left="720"/>
      </w:pPr>
      <w:r/>
      <w:r>
        <w:rPr>
          <w:b/>
        </w:rPr>
        <w:t>If the Supreme Court overturns bans:</w:t>
      </w:r>
      <w:r>
        <w:t xml:space="preserve"> Activists suggest shifting resources to monitoring, messaging and strategic legal actions rather than losing heart.</w:t>
      </w:r>
      <w:r/>
      <w:r/>
    </w:p>
    <w:p>
      <w:pPr>
        <w:pStyle w:val="Heading2"/>
      </w:pPr>
      <w:r>
        <w:t>Why activists say state bans feel symbolic , and what that looks like</w:t>
      </w:r>
      <w:r/>
    </w:p>
    <w:p>
      <w:r/>
      <w:r>
        <w:t>Wayne Besen argues the plain truth: many bans are symbolic and don’t stop the people doing the work. There’s a quiet, tangible frustration in that observation , the practice hasn’t disappeared, it’s simply moved into rooms and websites that the laws don’t reach. According to Besen, free-speech and religious-expression carve-outs are commonly large enough that ministries and faith-based groups can keep running programmes openly. That matters because it reframes the problem: the law signals social disapproval but doesn’t always deliver practical enforcement.</w:t>
      </w:r>
      <w:r/>
    </w:p>
    <w:p>
      <w:r/>
      <w:r>
        <w:t>This isn’t only anecdote. Legal contests in lower courts and shifting judicial standards have created a patchwork of protections and restrictions, so what a ban actually prevents depends on where you live and how prosecutors choose to pursue cases. For families and survivors, that means a ban can feel like reassurance but not a guarantee.</w:t>
      </w:r>
      <w:r/>
    </w:p>
    <w:p>
      <w:pPr>
        <w:pStyle w:val="Heading2"/>
      </w:pPr>
      <w:r>
        <w:t>Unlicensed counsellors and online programmes are hard to pin down</w:t>
      </w:r>
      <w:r/>
    </w:p>
    <w:p>
      <w:r/>
      <w:r>
        <w:t>The conversion-therapy landscape has moved online and into informal networks, and that’s deliberate. Religious counsellors, life coaches and “ex-gay” ministries often operate outside the reach of professional licensing boards, which is exactly how they avoid some of the most direct state restrictions. Besen points out that powerful groups continue to function by presenting themselves as religious organisations, which makes enforcement tricky.</w:t>
      </w:r>
      <w:r/>
    </w:p>
    <w:p>
      <w:r/>
      <w:r>
        <w:t>Practically, this means parents and policymakers should watch for red flags rather than assuming a law eliminates all risk: promises of guaranteed change, fees for private counselling with no clear licensure, and programmes that funnel participants to out-of-state or overseas services. If you’re choosing help for a young person, verify credentials and seek recommendations from licensed, reputable mental-health providers.</w:t>
      </w:r>
      <w:r/>
    </w:p>
    <w:p>
      <w:pPr>
        <w:pStyle w:val="Heading2"/>
      </w:pPr>
      <w:r>
        <w:t>How consumer-fraud lawsuits have succeeded where bans sometimes can’t</w:t>
      </w:r>
      <w:r/>
    </w:p>
    <w:p>
      <w:r/>
      <w:r>
        <w:t>When bans hit a legal wall, consumer-protection laws have proven an effective alternative. Besen’s work with litigators in cases like the JONAH trial showed that alleging false advertising and fraud can lead to permanent closures. The trade-off is time and money: consumer-fraud actions require investigators, witnesses and courtroom resources that not every state or organisation can provide.</w:t>
      </w:r>
      <w:r/>
    </w:p>
    <w:p>
      <w:r/>
      <w:r>
        <w:t>Still, this path offers a useful playbook. Regulators can target monetary transactions and promotional claims, which avoids some First Amendment defences tied to purely religious speech. For activists and donors, that suggests a strategic allocation of funds: invest both in public campaigns that reduce demand and in legal work that traces the business side of these organisations.</w:t>
      </w:r>
      <w:r/>
    </w:p>
    <w:p>
      <w:pPr>
        <w:pStyle w:val="Heading2"/>
      </w:pPr>
      <w:r>
        <w:t>Why visibility, social media and exposing hypocrisy still work</w:t>
      </w:r>
      <w:r/>
    </w:p>
    <w:p>
      <w:r/>
      <w:r>
        <w:t>History shows that public exposure can be devastating for conversion networks. In the early 2000s, activists used media scrutiny to unpick the credibility of high-profile leaders and watched organisations fragment under public ridicule and loss of trust. Besen argues those tactics should return as central organising tools if courts undermine statutory bans.</w:t>
      </w:r>
      <w:r/>
    </w:p>
    <w:p>
      <w:r/>
      <w:r>
        <w:t>That’s a practical strategy anyone can join: amplify survivor stories, share investigative reporting, document claims and inconsistencies, and support watchdog groups. Social media can apply reputational pressure quickly; combined with careful journalistic work and evidence-gathering it can make it harder for organisations to recruit and fundraise.</w:t>
      </w:r>
      <w:r/>
    </w:p>
    <w:p>
      <w:pPr>
        <w:pStyle w:val="Heading2"/>
      </w:pPr>
      <w:r>
        <w:t>The political context: courts, messaging and the broader fight</w:t>
      </w:r>
      <w:r/>
    </w:p>
    <w:p>
      <w:r/>
      <w:r>
        <w:t>The Supreme Court’s review of cases such as Chiles v. Salazar has pushed this debate into a new era where constitutional questions about speech and professional regulation matter more than ever. Besen says the movement must also grapple with the rise of Christian nationalist organising that links anti-LGBTQ+ agendas across borders. That makes strategic clarity urgent: activists need to decide where to focus resources, which battles to accept, and where to double down.</w:t>
      </w:r>
      <w:r/>
    </w:p>
    <w:p>
      <w:r/>
      <w:r>
        <w:t>On messaging, the community faces a real challenge around trans issues and what critics call “gender exploratory” or anti-trans therapies. Besen calls for major organisations to co-ordinate clearer, cohesive messaging so public opinion and policy campaigning can be effective. In short, law is only one tool in a larger, ongoing cultural and political fight.</w:t>
      </w:r>
      <w:r/>
    </w:p>
    <w:p>
      <w:r/>
      <w:r>
        <w:t>Closing line</w:t>
      </w:r>
      <w:r/>
    </w:p>
    <w:p>
      <w:r/>
      <w:r>
        <w:t>It’s a small change in strategy , from relying on bans alone to combining legal action, public exposure and smarter messaging , but activists say it could make every effort to end conversion practices far more effective.</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9">
        <w:r>
          <w:rPr>
            <w:color w:val="0000EE"/>
            <w:u w:val="single"/>
          </w:rPr>
          <w:t>[2]</w:t>
        </w:r>
      </w:hyperlink>
      <w:r>
        <w:t xml:space="preserve">, </w:t>
      </w:r>
      <w:hyperlink r:id="rId10">
        <w:r>
          <w:rPr>
            <w:color w:val="0000EE"/>
            <w:u w:val="single"/>
          </w:rPr>
          <w:t>[6]</w:t>
        </w:r>
      </w:hyperlink>
      <w:r>
        <w:t xml:space="preserve">- Paragraph 2: </w:t>
      </w:r>
      <w:hyperlink r:id="rId9">
        <w:r>
          <w:rPr>
            <w:color w:val="0000EE"/>
            <w:u w:val="single"/>
          </w:rPr>
          <w:t>[2]</w:t>
        </w:r>
      </w:hyperlink>
      <w:r>
        <w:t xml:space="preserve">, </w:t>
      </w:r>
      <w:hyperlink r:id="rId11">
        <w:r>
          <w:rPr>
            <w:color w:val="0000EE"/>
            <w:u w:val="single"/>
          </w:rPr>
          <w:t>[3]</w:t>
        </w:r>
      </w:hyperlink>
      <w:r>
        <w:t xml:space="preserve">- Paragraph 3: </w:t>
      </w:r>
      <w:hyperlink r:id="rId9">
        <w:r>
          <w:rPr>
            <w:color w:val="0000EE"/>
            <w:u w:val="single"/>
          </w:rPr>
          <w:t>[2]</w:t>
        </w:r>
      </w:hyperlink>
      <w:r>
        <w:t xml:space="preserve">, </w:t>
      </w:r>
      <w:hyperlink r:id="rId12">
        <w:r>
          <w:rPr>
            <w:color w:val="0000EE"/>
            <w:u w:val="single"/>
          </w:rPr>
          <w:t>[5]</w:t>
        </w:r>
      </w:hyperlink>
      <w:r>
        <w:t xml:space="preserve">- Paragraph 4: </w:t>
      </w:r>
      <w:hyperlink r:id="rId9">
        <w:r>
          <w:rPr>
            <w:color w:val="0000EE"/>
            <w:u w:val="single"/>
          </w:rPr>
          <w:t>[2]</w:t>
        </w:r>
      </w:hyperlink>
      <w:r>
        <w:t xml:space="preserve">, </w:t>
      </w:r>
      <w:hyperlink r:id="rId9">
        <w:r>
          <w:rPr>
            <w:color w:val="0000EE"/>
            <w:u w:val="single"/>
          </w:rPr>
          <w:t>[1]</w:t>
        </w:r>
      </w:hyperlink>
      <w:r>
        <w:t xml:space="preserve">- Paragraph 5: </w:t>
      </w:r>
      <w:hyperlink r:id="rId9">
        <w:r>
          <w:rPr>
            <w:color w:val="0000EE"/>
            <w:u w:val="single"/>
          </w:rPr>
          <w:t>[2]</w:t>
        </w:r>
      </w:hyperlink>
      <w:r>
        <w:t xml:space="preserve">, </w:t>
      </w:r>
      <w:hyperlink r:id="rId13">
        <w:r>
          <w:rPr>
            <w:color w:val="0000EE"/>
            <w:u w:val="single"/>
          </w:rPr>
          <w:t>[4]</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https://www.lgbtqnation.com/2026/03/state-bans-against-conversion-therapy-are-ineffective-argues-leading-lgbtq-activist/</w:t>
        </w:r>
      </w:hyperlink>
      <w:r>
        <w:t xml:space="preserve"> - Please view link - unable to able to access data</w:t>
      </w:r>
      <w:r/>
    </w:p>
    <w:p>
      <w:pPr>
        <w:pStyle w:val="ListNumber"/>
        <w:spacing w:line="240" w:lineRule="auto"/>
        <w:ind w:left="720"/>
      </w:pPr>
      <w:r/>
      <w:hyperlink r:id="rId9">
        <w:r>
          <w:rPr>
            <w:color w:val="0000EE"/>
            <w:u w:val="single"/>
          </w:rPr>
          <w:t>https://www.lgbtqnation.com/2026/03/state-bans-against-conversion-therapy-are-ineffective-argues-leading-lgbtq-activist/</w:t>
        </w:r>
      </w:hyperlink>
      <w:r>
        <w:t xml:space="preserve"> - In an article from March 2026, LGBTQ+ activist Wayne Besen argues that state bans on conversion therapy are largely ineffective. He points out that these laws often have significant loopholes for religious practitioners, allowing organizations like The Changed Movement to continue operating under religious exemptions. Besen suggests that while such bans may reduce the practice's stature, they do not effectively eliminate it. He also highlights the challenges posed by the internet, which enables parents to access conversion therapy programs outside the U.S. with ease.</w:t>
      </w:r>
      <w:r/>
    </w:p>
    <w:p>
      <w:pPr>
        <w:pStyle w:val="ListNumber"/>
        <w:spacing w:line="240" w:lineRule="auto"/>
        <w:ind w:left="720"/>
      </w:pPr>
      <w:r/>
      <w:hyperlink r:id="rId11">
        <w:r>
          <w:rPr>
            <w:color w:val="0000EE"/>
            <w:u w:val="single"/>
          </w:rPr>
          <w:t>https://en.wikipedia.org/wiki/Chiles_v._Salazar</w:t>
        </w:r>
      </w:hyperlink>
      <w:r>
        <w:t xml:space="preserve"> - Chiles v. Salazar is a pending U.S. Supreme Court case concerning the constitutionality of Colorado's Minor Conversion Therapy Law (MCTL), which bans conversion therapy for minors by licensed mental health professionals. The case was argued on October 7, 2025, with the Supreme Court granting certiorari on March 10, 2025. The central issue is whether the law violates the First Amendment rights of mental health professionals by restricting certain conversations between counselors and clients based on the viewpoints expressed.</w:t>
      </w:r>
      <w:r/>
    </w:p>
    <w:p>
      <w:pPr>
        <w:pStyle w:val="ListNumber"/>
        <w:spacing w:line="240" w:lineRule="auto"/>
        <w:ind w:left="720"/>
      </w:pPr>
      <w:r/>
      <w:hyperlink r:id="rId13">
        <w:r>
          <w:rPr>
            <w:color w:val="0000EE"/>
            <w:u w:val="single"/>
          </w:rPr>
          <w:t>https://www.law.cornell.edu/supct/cert/24-539</w:t>
        </w:r>
      </w:hyperlink>
      <w:r>
        <w:t xml:space="preserve"> - The Legal Information Institute provides an overview of Chiles v. Salazar, a Supreme Court case examining Colorado's Minor Conversion Therapy Law (MCTL). The case questions whether the law, which prohibits licensed mental health professionals from providing conversion therapy to minors, infringes on the First Amendment rights of counselors. The Supreme Court granted certiorari on March 10, 2025, and oral arguments were held on October 7, 2025. The outcome could have significant implications for the regulation of professional conduct and free speech.</w:t>
      </w:r>
      <w:r/>
    </w:p>
    <w:p>
      <w:pPr>
        <w:pStyle w:val="ListNumber"/>
        <w:spacing w:line="240" w:lineRule="auto"/>
        <w:ind w:left="720"/>
      </w:pPr>
      <w:r/>
      <w:hyperlink r:id="rId12">
        <w:r>
          <w:rPr>
            <w:color w:val="0000EE"/>
            <w:u w:val="single"/>
          </w:rPr>
          <w:t>https://hulr.org/scotus-feed/cert-granted-in-chiles-v-salazar-a-case-concerning-conversion-therapy-bans</w:t>
        </w:r>
      </w:hyperlink>
      <w:r>
        <w:t xml:space="preserve"> - The Harvard Undergraduate Law Review discusses the Supreme Court's decision to grant certiorari in Chiles v. Salazar, a case challenging the constitutionality of Colorado's ban on conversion therapy for minors. The article highlights the central issue of whether such bans violate the First Amendment rights of mental health professionals. It also notes that conversion practices are widely discredited and rejected by mainstream medical and mental health organizations, raising questions about the balance between free speech and state regulation.</w:t>
      </w:r>
      <w:r/>
    </w:p>
    <w:p>
      <w:pPr>
        <w:pStyle w:val="ListNumber"/>
        <w:spacing w:line="240" w:lineRule="auto"/>
        <w:ind w:left="720"/>
      </w:pPr>
      <w:r/>
      <w:hyperlink r:id="rId10">
        <w:r>
          <w:rPr>
            <w:color w:val="0000EE"/>
            <w:u w:val="single"/>
          </w:rPr>
          <w:t>https://www.hrc.org/press-releases/hrc-president-reacts-to-scotus-oral-arguments-in-chiles-v-salazar</w:t>
        </w:r>
      </w:hyperlink>
      <w:r>
        <w:t xml:space="preserve"> - The Human Rights Campaign (HRC) President Kelley Robinson responds to the Supreme Court's oral arguments in Chiles v. Salazar, a case challenging Colorado's ban on conversion therapy for minors. Robinson emphasizes that conversion therapy is a discredited pseudoscience rooted in shame, rejection, and fear. She urges the Supreme Court to uphold the constitutionality of legal restrictions on such practices, highlighting the harm they cause to LGBTQ+ youth and the importance of protecting them from these practices.</w:t>
      </w:r>
      <w:r/>
    </w:p>
    <w:p>
      <w:pPr>
        <w:pStyle w:val="ListNumber"/>
        <w:spacing w:line="240" w:lineRule="auto"/>
        <w:ind w:left="720"/>
      </w:pPr>
      <w:r/>
      <w:hyperlink r:id="rId14">
        <w:r>
          <w:rPr>
            <w:color w:val="0000EE"/>
            <w:u w:val="single"/>
          </w:rPr>
          <w:t>https://equality.house.gov/chiles-oral-arguments</w:t>
        </w:r>
      </w:hyperlink>
      <w:r>
        <w:t xml:space="preserve"> - Ahead of the Supreme Court hearing oral arguments in Chiles v. Salazar, the Congressional Equality Caucus released statements urging the Court to uphold bans on conversion therapy. Chair Rep. Mark Takano and Vice Chair Rep. Ted Lieu emphasize that conversion therapy is a discredited and deceptive practice that harms patients and families. They highlight that almost half of states have taken steps to protect young LGBTQI+ people from these practices and hope the Supreme Court will recognize this as a just and constitutional use of their powers.</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lgbtqnation.com/2026/03/state-bans-against-conversion-therapy-are-ineffective-argues-leading-lgbtq-activist/" TargetMode="External"/><Relationship Id="rId10" Type="http://schemas.openxmlformats.org/officeDocument/2006/relationships/hyperlink" Target="https://www.hrc.org/press-releases/hrc-president-reacts-to-scotus-oral-arguments-in-chiles-v-salazar" TargetMode="External"/><Relationship Id="rId11" Type="http://schemas.openxmlformats.org/officeDocument/2006/relationships/hyperlink" Target="https://en.wikipedia.org/wiki/Chiles_v._Salazar" TargetMode="External"/><Relationship Id="rId12" Type="http://schemas.openxmlformats.org/officeDocument/2006/relationships/hyperlink" Target="https://hulr.org/scotus-feed/cert-granted-in-chiles-v-salazar-a-case-concerning-conversion-therapy-bans" TargetMode="External"/><Relationship Id="rId13" Type="http://schemas.openxmlformats.org/officeDocument/2006/relationships/hyperlink" Target="https://www.law.cornell.edu/supct/cert/24-539" TargetMode="External"/><Relationship Id="rId14" Type="http://schemas.openxmlformats.org/officeDocument/2006/relationships/hyperlink" Target="https://equality.house.gov/chiles-oral-argumen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