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Are you 'stuck' as a gay man?</w:t>
      </w:r>
    </w:p>
    <w:p>
      <w:r/>
    </w:p>
    <w:p>
      <w:r>
        <w:drawing>
          <wp:inline xmlns:a="http://schemas.openxmlformats.org/drawingml/2006/main" xmlns:pic="http://schemas.openxmlformats.org/drawingml/2006/picture">
            <wp:extent cx="5486400" cy="316756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67562"/>
                    </a:xfrm>
                    <a:prstGeom prst="rect"/>
                  </pic:spPr>
                </pic:pic>
              </a:graphicData>
            </a:graphic>
          </wp:inline>
        </w:drawing>
      </w:r>
    </w:p>
    <w:p>
      <w:r>
        <w:t>In a recent article published by The Art of Gay Style, the author reflects on the transformative power of imagination and creativity, particularly within the gay community. Describing a nostalgic view of childhood, the piece draws a parallel between the imaginative freedom of youth—when tablecloths served as capes for superheroes or bicycles transformed into roaring motorbikes—and the limitations that societal pressures can impose as individuals navigate adulthood.</w:t>
      </w:r>
    </w:p>
    <w:p>
      <w:r>
        <w:t>The article discusses the sense of being 'stuck', a common theme as we face ongoing struggles against discrimination and challenges to our rights. The author expresses a belief that while we have to recognise the harsh realities facing gay men right now, it is just as important to focus on solutions and opportunities for positive change. 'Spending all your energy focusing on what’s wrong... well, that keeps the problem stuck longer,' he says.</w:t>
      </w:r>
    </w:p>
    <w:p>
      <w:r>
        <w:t>The piece uses the metaphor of water to help portray resilience and adaptability, with the water flowing unimpeded by obstacles, finding paths around them. This metaphor serves to encourage readers to embrace their own potential to navigate through difficulties and to reconsider the labels they use to define themselves.</w:t>
      </w:r>
    </w:p>
    <w:p>
      <w:r>
        <w:t>The use of terms like 'minority', for instance, can be said to carry negative connotations. The author argues that recognising the value and rarity of being part of the gay community can empower individuals and make them feel more like creators than members of a lesser group. The sentiment underscores a call to reclaim identity and dignity by focusing on strength, creativity, and capacity for change.</w:t>
      </w:r>
    </w:p>
    <w:p>
      <w:r>
        <w:t>Additionally, the writer prompts a moment of introspection, urging readers to reconnect with their childlike wonder and imagination: 'What reality would I like to live in today?' he asks, hoping to stir a sense of what's possible within the community, emphasising that everyone possesses the power to contribute to a more beautiful and inclusive environment.</w:t>
      </w:r>
    </w:p>
    <w:p>
      <w:r>
        <w:t xml:space="preserve">While acknowledging the weight of ongoing challenges, the author maintains an optimistic viewpoint, reiterating that life is a continuous journey of growth, expansion, and potential transformation.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https://www.hrc.org/resources/advancing-acceptance</w:t>
        </w:r>
      </w:hyperlink>
      <w:r>
        <w:t xml:space="preserve"> - This URL supports the article’s emphasis on the ongoing struggles faced by the LGBTQ+ community and suggests ways to promote acceptance and empowerment.</w:t>
      </w:r>
    </w:p>
    <w:p>
      <w:pPr>
        <w:pStyle w:val="ListBullet"/>
      </w:pPr>
      <w:hyperlink r:id="rId12">
        <w:r>
          <w:rPr>
            <w:u w:val="single"/>
            <w:color w:val="0000FF"/>
            <w:rStyle w:val="Hyperlink"/>
          </w:rPr>
          <w:t>https://www.trevorproject.org/resources/</w:t>
        </w:r>
      </w:hyperlink>
      <w:r>
        <w:t xml:space="preserve"> - The Trevor Project website provides resources that align with the article’s theme of resilience and empowerment within the LGBTQ+ community by offering support and advocacy.</w:t>
      </w:r>
    </w:p>
    <w:p>
      <w:pPr>
        <w:pStyle w:val="ListBullet"/>
      </w:pPr>
      <w:hyperlink r:id="rId13">
        <w:r>
          <w:rPr>
            <w:u w:val="single"/>
            <w:color w:val="0000FF"/>
            <w:rStyle w:val="Hyperlink"/>
          </w:rPr>
          <w:t>https://www.glaad.org/resources</w:t>
        </w:r>
      </w:hyperlink>
      <w:r>
        <w:t xml:space="preserve"> - GLAAD’s resources showcase efforts to reclaim and redefine identities within the LGBTQ+ community, mirroring the article’s call for positive label recognition and empowerment.</w:t>
      </w:r>
    </w:p>
    <w:p>
      <w:pPr>
        <w:pStyle w:val="ListBullet"/>
      </w:pPr>
      <w:hyperlink r:id="rId14">
        <w:r>
          <w:rPr>
            <w:u w:val="single"/>
            <w:color w:val="0000FF"/>
            <w:rStyle w:val="Hyperlink"/>
          </w:rPr>
          <w:t>https://www.humanrightsfirst.org/resource/empowering-lgbtq</w:t>
        </w:r>
      </w:hyperlink>
      <w:r>
        <w:t xml:space="preserve"> - This resource highlights strategies for empowering LGBTQ+ individuals and communities, echoing the article’s emphasis on focusing on potential solutions for positive change.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hrc.org/resources/advancing-acceptance" TargetMode="External"/><Relationship Id="rId12" Type="http://schemas.openxmlformats.org/officeDocument/2006/relationships/hyperlink" Target="https://www.trevorproject.org/resources/" TargetMode="External"/><Relationship Id="rId13" Type="http://schemas.openxmlformats.org/officeDocument/2006/relationships/hyperlink" Target="https://www.glaad.org/resources" TargetMode="External"/><Relationship Id="rId14" Type="http://schemas.openxmlformats.org/officeDocument/2006/relationships/hyperlink" Target="https://www.humanrightsfirst.org/resource/empowering-lgb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