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City of London Corporation Launches SME Strategy to Boost Business Growth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City of London Corporation has introduced its inaugural Small and Medium Enterprise (SME) strategy, designed to maintain the City's status as the UK's leading destination for business growth. Unveiled at Guildhall, this plan aims to support the City's over 21,000 SMEs, particularly in the tech sector, which has seen significant growth in recent years.</w:t>
      </w:r>
    </w:p>
    <w:p>
      <w:r>
        <w:t>Key aspects of the strategy include providing SMEs access to finance through partnerships with the British Business Bank and high street banks, offering data insights, unlocking space for business expansion, and delivering expertise via free mentoring programs. Networking opportunities and support from organizations such as the Company of Entrepreneurs are also integral parts of the plan.</w:t>
      </w:r>
    </w:p>
    <w:p>
      <w:r>
        <w:t>Led by policy chairman Chris Hayward and SME advocate Paul Singh, this strategy is set to enhance the City's business support ecosystem and align with broader economic ambitions. Collaborative efforts with the Federation of Small Businesses (FSB), London Chamber of Commerce and Industry (LCCI), and various city-specific entities are also emphasized to ensure comprehensive support for SMEs.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